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177C9" w:rsidRDefault="001177C9"/>
    <w:p w:rsidR="001177C9" w:rsidRDefault="001177C9"/>
    <w:p w:rsidR="001177C9" w:rsidRDefault="001177C9"/>
    <w:p w:rsidR="001177C9" w:rsidRDefault="001177C9"/>
    <w:p w:rsidR="001177C9" w:rsidRDefault="001177C9"/>
    <w:p w:rsidR="001177C9" w:rsidRDefault="001177C9"/>
    <w:p w:rsidR="001177C9" w:rsidRDefault="001177C9"/>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GANGS IN AMERICA</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Student’s name</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Institution name</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Instructor’s name</w:t>
      </w:r>
    </w:p>
    <w:p w:rsidR="001177C9" w:rsidRPr="001177C9" w:rsidRDefault="001177C9" w:rsidP="001177C9">
      <w:pPr>
        <w:jc w:val="center"/>
        <w:rPr>
          <w:rFonts w:ascii="Times New Roman" w:hAnsi="Times New Roman" w:cs="Times New Roman"/>
          <w:sz w:val="24"/>
          <w:szCs w:val="24"/>
        </w:rPr>
      </w:pPr>
      <w:r w:rsidRPr="001177C9">
        <w:rPr>
          <w:rFonts w:ascii="Times New Roman" w:hAnsi="Times New Roman" w:cs="Times New Roman"/>
          <w:sz w:val="24"/>
          <w:szCs w:val="24"/>
        </w:rPr>
        <w:t>Course title</w:t>
      </w:r>
    </w:p>
    <w:p w:rsidR="001177C9" w:rsidRDefault="001177C9" w:rsidP="001177C9">
      <w:pPr>
        <w:jc w:val="center"/>
      </w:pPr>
      <w:r w:rsidRPr="001177C9">
        <w:rPr>
          <w:rFonts w:ascii="Times New Roman" w:hAnsi="Times New Roman" w:cs="Times New Roman"/>
          <w:sz w:val="24"/>
          <w:szCs w:val="24"/>
        </w:rPr>
        <w:br w:type="page"/>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lastRenderedPageBreak/>
        <w:t>The History of Gangs in America</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It is clear that gangs are not the new threat in many countries, it has been in existence for a long time, and initially, they were not known as the gangs; instead, they were known as pirates, street thugs, or thugz (A.D. 1200). There are many thugs with different names such as Dead Boys, Mims, Bugles, and hectors who have been well known for involving themselves in criminal activities at their middle age in Europe and London; most of these were mainly done in the 14th and 15th centuries. Apart from the two mentioned countries, the gangs were also known to commit the crime in Germany, France, and date back to early colonial America. Street gangs escalated in the middle of the 1800s.</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In the mid-1800s, the gang's capital was New York City, and by 1855 many men's estimated to be around 30 000 in number claimed their allegiance to gang leaders. During this time, the first gang in place was known as the five points, and apart from this gang group, there were other gangs listed that surfaced. During this period, there was a huge part of gang activity, which was recognized as the Irish, and they were open to doing any job to improve their life. Due to the rise in street gangs, there were many riots, so citizens began to demand more law and order for the bands that disturbed the people, this in return, brought positive feedback and led to the formation of local police forces. The first professional police force was London's Metropolitan Police Force. Even after forming local police agencies, gangs started to affect politics. They would use squads to control elections by threatening violence or using violence. The Fire Brigade was also developed during this period, consisting of gang members before the Civil War. Fire companies didn't work with one another; they were actually in competition. They always fought over the right to fight fires and collect insurance money.</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Civil War and street gangs- During this Era, Baltimore was considered a Southern city, and many Irish immigrants also caused an increase in their population. Many crews such as the </w:t>
      </w:r>
      <w:r w:rsidRPr="00B7590A">
        <w:rPr>
          <w:rFonts w:ascii="Times New Roman" w:hAnsi="Times New Roman" w:cs="Times New Roman"/>
          <w:sz w:val="24"/>
          <w:szCs w:val="24"/>
        </w:rPr>
        <w:lastRenderedPageBreak/>
        <w:t>American rattlers and Blood Tubs came about in Baltimore. The problems they had in Southern cities had something to do with the Civil War. The abolition of slavery made Irish immigrants feel like they would have to compete with more low-wage workers for scarce jobs. There was anger and outrage due to the first draft, which caused problems in New York. Several young men and boys assaulted many blacks on the streets on March 17, 1863. A local election followed the riot, and Democrats won most of the city's position. Soon after the draft started, a riot broke out, which initially protested the draft, but in the process, blacks became the primary target. They were attacked wherever the mob found them. They used gangs to fight the police while they went after the blacks. Technological advancements brought about drug use among gang members during the Civil War period. Ninety percent of gang members were addicted to cocaine by the late 19th century.</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Methods to Combat the Growing Threat</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In the United States, the issue of gangs has been something that has been in place for decades. Mainly, the violence resulting from the bands usually leads to high business and general community fear, and people cannot go through their daily activities without fear. The companies suffered a lot because most of the companies would lose their clients, which will result in the community lacking the money to sustain themselves. The lack of money in the city, in return, resulted in social disorganization in the community. When the residents live within a territory where gangs are available, they will often live in fear, and they will not be productive when it comes to doing their things. Many youths in the area could join gangs, which became a big problem since they could be involved with larger bands and maybe hunted down to death. One of the critical points that should be based on is youths joining gangs; it can be controlled, then the chances are high that the bands can easily be eliminated. For example, due to the increased number of California State units, the state has decided to do something about it. Some of the </w:t>
      </w:r>
      <w:r w:rsidRPr="00B7590A">
        <w:rPr>
          <w:rFonts w:ascii="Times New Roman" w:hAnsi="Times New Roman" w:cs="Times New Roman"/>
          <w:sz w:val="24"/>
          <w:szCs w:val="24"/>
        </w:rPr>
        <w:lastRenderedPageBreak/>
        <w:t>methods that can control the clubs include the Project wake-up, which was brought about in 2012 in the City of Modesto, which aims to prevent the youths from joining gangs, intervention, and reduction of the units.</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 xml:space="preserve"> "Project Wake Up"</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"Project Wake Up is an educational program designed to guide delinquents in overcoming negative peer influences, prevent self-destructive actions, redirect youth attention away from delinquency and back to family and social values. It also help parents reclaim control by opening the lines of communication within families" (Carroll, 2011). </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Through this program, two-session types are available. Problem-related to behavior is mainly handled within the regular sessions. The other session is the gang session, which is primarily focused on the children at a higher risk of joining the gangs; this session is also about the behavior aspect but focuses a lot on the children's. Many partners collaborate with "Project Wake Up" to provide the youths involved in gang activities with different opportunities that they may not have thought about before. The program is working hand in hand with the Modesto city schools to help give the education of the youth that is better. The center of Human Services is also involved, which can help the family get in touch with programs where they may receive much-needed aid.  The Nirvana Drug/Alcohol Treatment Center is engaged in the program providing treatment for those in need.  There are also several churches involved in the program helping families to receive religious services if they are wanted.  </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From 2011 to 2012, gang-related aggravated assault increased by 213%. "In the City of Modesto, 64% of the firearm-related homicides between 2008 and 2011 involved subjects aged 14 to 24 as victims or suspects" ("California Gang Reduction Intervention And Prevention Program", 2014).  Sixty-one gangs have been documented by county law enforcement with 5,026 memberships and associates.  Three thousand of those are estimated to be under the age of </w:t>
      </w:r>
      <w:r w:rsidRPr="00B7590A">
        <w:rPr>
          <w:rFonts w:ascii="Times New Roman" w:hAnsi="Times New Roman" w:cs="Times New Roman"/>
          <w:sz w:val="24"/>
          <w:szCs w:val="24"/>
        </w:rPr>
        <w:lastRenderedPageBreak/>
        <w:t xml:space="preserve">26.   The rate of violent crime in Modesto had is 41% higher than the national average of 695 per 100,000 in 2010.  This area needs severe review and where "Project Wake Up" has come into play.  The focus is on prevention rather than trying to reduce gang activity after the fact.  </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This program is facilitated by an officer from the Modesto Police Department and is coordinated through the Youth Services Unit.  The classes consist of nine sessions held once a week in the evening for two and a half hours.  During the classes, presentations are given by people in specialized fields such as the office of education, the office of the District Attorney, the Sheriff's Department, the Probation department Juvenile Justice Coordinating Council, and Behavioral Health and Recovery Services.  Every relevant aspect is categorized under a topic and discussed to help come up with an essential part. Some topics include drug and alcohol abuse, the juvenile justice system, family relationships, gang awareness, pro-social behaviors, character-building, and communication skills. There is also a day-long field trip to a California State Prison. "The funding doubles the number of sessions being offered to youth while new sessions will specifically target juveniles showing signs of being at-risk for gang and/or gun violence" ("California Gang Reduction, Intervention and Prevention (CalGRIP) Program", 2014).  It is approximated that per award year, 200 youth will be joined up with Project Wake up. It is expected that 75% of the members will finish the program, 85% of which will demonstrate constructive conduct. It is additionally anticipated that 85% of guardians will show a rapid positive change in their child's behavior.  </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CalGRIP</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The funding for "Project Wake Up" was received by the California Gang Reduction, Intervention, and Prevention (CalGRIP) Program.  In 2007, CalGRIP was formed to create funding for cities throughout California to combat gangs' rising issues.   The program gives award subsidizing to urban communities that utilize a locally collective methodology for gang </w:t>
      </w:r>
      <w:r w:rsidRPr="00B7590A">
        <w:rPr>
          <w:rFonts w:ascii="Times New Roman" w:hAnsi="Times New Roman" w:cs="Times New Roman"/>
          <w:sz w:val="24"/>
          <w:szCs w:val="24"/>
        </w:rPr>
        <w:lastRenderedPageBreak/>
        <w:t xml:space="preserve">avoidance, mediation, and concealment exercises. "Generally speaking, Prevention programs target youth at risk of gang involvement and help reduce the number of youth who join gangs. Intervention programs and strategies provide sanctions and services for younger youth who are actively involved in gangs to push them away from gangs, and Suppression strategies and intensive services target active gang activities within communities" ("California Gang Reduction, Intervention And Prevention Program ", 2013).  It is a state-funded program that is appropriated annually through the State Restitution Fund. Modesto has received grant funding for $334,716 to expedite "Project Wake Up."  </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How are Gangs Facilitating Crime?</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 xml:space="preserve">               Gang membership and gang violence play a significant role in facilitating neighborhood crimes in the US. Racism and frustrations are among factors that contributed to the formation of gangs and accelerated membership and strengthen gang interactions for a collective voice (King-jah, 2016). Theories that explain gang membership and violence focus on societies' structure in the US, economic conditions that cause disparities in lifestyles. Among the arguments are the subcultural theories that illustrate diversities between the dominant middle class and the low class. </w:t>
      </w:r>
      <w:r w:rsidR="00B7590A" w:rsidRPr="00B7590A">
        <w:rPr>
          <w:rFonts w:ascii="Times New Roman" w:hAnsi="Times New Roman" w:cs="Times New Roman"/>
          <w:sz w:val="24"/>
          <w:szCs w:val="24"/>
        </w:rPr>
        <w:t>Also</w:t>
      </w:r>
      <w:r w:rsidRPr="00B7590A">
        <w:rPr>
          <w:rFonts w:ascii="Times New Roman" w:hAnsi="Times New Roman" w:cs="Times New Roman"/>
          <w:sz w:val="24"/>
          <w:szCs w:val="24"/>
        </w:rPr>
        <w:t xml:space="preserve"> the discussions that explain gang membership due to economic mobility and assimilation changes in the economy. Theories related to economic mobility argue that teenagers' inability to secure employment renders them to join street crimes for financial stability and protection. Economic conditions influence the number of neighborhood crimes and gangs formed both in the urban and non-urban areas and adversely affected future generations to dedicate their energy to gaining intellectual knowledge since there is a tendency to transmit the codes and assimilation.</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Theories that explain Gang Membership and Gang Violence</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lastRenderedPageBreak/>
        <w:t xml:space="preserve">               Subcultural theories hold that differences in the middle and low class result in gang membership and hostility. Cohen and Lloyd Ohlin argued that there exists a cultural difference between the short course and the middle class in terms of goals and achievements pursued by each type.  The middle class pursues intellectual knowledge, self-actualization, and independence, while the low- class culture is limited to pursue similar opportunities. Due to the limitations, the low class is assumed to be lagging in self-development and the need for higher goals in life and perceived as failures. The low level is often unable to meet the expectations of the middle class. It is referred to as failures, thus react to the frustrations of the limited opportunities and shame by forming gangs to gain money and protection (Egley et al., 2006). </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Youths enrolled in jobs consider the original goals of the position as meaningless and opt to join groups that result from adolescents' interactions with similar problems of attainment resulting in the neighborhood in crime.  This theory explains neighborhood crime in urban areas where economic developments and diversities are capabilities and can explain crime in non-urban regions such as Chandler due to different cultural structures.</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The other theory is under the underclass concept by Wilson that proposes the existence of disadvantaged groups due to economic mobility and assimilation changes. The theory explains neighborhood crime due to inadequate financial security for the underclass, mostly blacks, and Hispanics. Most underclass lack employment opportunities in urban areas such as Los Angela's due to the eliminating manufacturing jobs that previously absorbed low skilled labor. The most affected group is the teenagers seeking employment who end up in part-time jobs or undocumented salaries and eventually join street crimes to sustain themselves economically.</w:t>
      </w:r>
    </w:p>
    <w:p w:rsidR="0021262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 xml:space="preserve">                The theory proposes interactions of such teenagers result in neighborhood crime to solve a common problem of unemployment. The theory explains future involvement in gangs after the teenage age since the teenager has recorded with the criminal justice system that denies </w:t>
      </w:r>
      <w:r w:rsidRPr="00B7590A">
        <w:rPr>
          <w:rFonts w:ascii="Times New Roman" w:hAnsi="Times New Roman" w:cs="Times New Roman"/>
          <w:sz w:val="24"/>
          <w:szCs w:val="24"/>
        </w:rPr>
        <w:lastRenderedPageBreak/>
        <w:t>them job opportunities due to conduct. Also, accumulating more wealth with no hard work motivates the participants to engage in crime even in their old age. Thus, the transmission of codes and values of gangs progresses continually.</w:t>
      </w:r>
    </w:p>
    <w:p w:rsidR="00212629" w:rsidRPr="00B7590A" w:rsidRDefault="00212629" w:rsidP="00B7590A">
      <w:pPr>
        <w:spacing w:after="0" w:line="480" w:lineRule="auto"/>
        <w:rPr>
          <w:rFonts w:ascii="Times New Roman" w:hAnsi="Times New Roman" w:cs="Times New Roman"/>
          <w:b/>
          <w:sz w:val="24"/>
          <w:szCs w:val="24"/>
        </w:rPr>
      </w:pPr>
      <w:r w:rsidRPr="00B7590A">
        <w:rPr>
          <w:rFonts w:ascii="Times New Roman" w:hAnsi="Times New Roman" w:cs="Times New Roman"/>
          <w:b/>
          <w:sz w:val="24"/>
          <w:szCs w:val="24"/>
        </w:rPr>
        <w:t>Conclusion</w:t>
      </w:r>
    </w:p>
    <w:p w:rsidR="00212629" w:rsidRPr="00B7590A" w:rsidRDefault="00212629" w:rsidP="00B7590A">
      <w:pPr>
        <w:spacing w:after="0" w:line="480" w:lineRule="auto"/>
        <w:ind w:firstLine="720"/>
        <w:rPr>
          <w:rFonts w:ascii="Times New Roman" w:hAnsi="Times New Roman" w:cs="Times New Roman"/>
          <w:sz w:val="24"/>
          <w:szCs w:val="24"/>
        </w:rPr>
      </w:pPr>
      <w:r w:rsidRPr="00B7590A">
        <w:rPr>
          <w:rFonts w:ascii="Times New Roman" w:hAnsi="Times New Roman" w:cs="Times New Roman"/>
          <w:sz w:val="24"/>
          <w:szCs w:val="24"/>
        </w:rPr>
        <w:t xml:space="preserve">Prevention and intervention efforts targeted towards youth who have not yet become too seriously involved in the juvenile justice system are among the nation's most significant needs.  Modesto found a way to fulfill this need with "Project Wake Up."  One of the main requirements for any program to continue to receive funding from the CalGRIP program is a success.  The program must be able to show that it has been successful and will continue to be so. "Project Wake Up" is still being implemented even today, which is a good indicator of the program's success.  This program has been able to help many juveniles to steer their lives away from gang life and activity and instead towards a brighter and more prosperous future.  This program has strengthened many family bonds between parents and children by opening doorways for better communication and parenting techniques.  These are all positive things that create better and brighter futures for the youth of Modesto.  </w:t>
      </w:r>
    </w:p>
    <w:p w:rsidR="001B2D39" w:rsidRPr="00B7590A" w:rsidRDefault="00212629" w:rsidP="00B7590A">
      <w:pPr>
        <w:spacing w:after="0" w:line="480" w:lineRule="auto"/>
        <w:rPr>
          <w:rFonts w:ascii="Times New Roman" w:hAnsi="Times New Roman" w:cs="Times New Roman"/>
          <w:sz w:val="24"/>
          <w:szCs w:val="24"/>
        </w:rPr>
      </w:pPr>
      <w:r w:rsidRPr="00B7590A">
        <w:rPr>
          <w:rFonts w:ascii="Times New Roman" w:hAnsi="Times New Roman" w:cs="Times New Roman"/>
          <w:sz w:val="24"/>
          <w:szCs w:val="24"/>
        </w:rPr>
        <w:t xml:space="preserve">               Gang membership and gang violence adversely affect development and self-independence among teenagers and lags the young mind to contribute to growth through active participation in economic activity. Thus, there is a need to formulate strategies that absorb teenagers' production for self-independence and recognition. This is because the current generation seeks self-actualization that is attainable through their active participation in economic activity. Theories related to differences in Subcultures and economic changes influence gang membership and gang violence both in urban and non-urban areas among teenagers and affect future criminal involvement. Thus, there is a need to eliminate </w:t>
      </w:r>
      <w:r w:rsidRPr="00B7590A">
        <w:rPr>
          <w:rFonts w:ascii="Times New Roman" w:hAnsi="Times New Roman" w:cs="Times New Roman"/>
          <w:sz w:val="24"/>
          <w:szCs w:val="24"/>
        </w:rPr>
        <w:lastRenderedPageBreak/>
        <w:t>discrimination and frustrations in society to ensure protection and safety among the young generation.</w:t>
      </w:r>
    </w:p>
    <w:p w:rsidR="001B2D39" w:rsidRPr="00B7590A" w:rsidRDefault="001B2D39" w:rsidP="00B7590A">
      <w:pPr>
        <w:spacing w:after="0" w:line="480" w:lineRule="auto"/>
        <w:rPr>
          <w:rFonts w:ascii="Times New Roman" w:hAnsi="Times New Roman" w:cs="Times New Roman"/>
          <w:sz w:val="24"/>
          <w:szCs w:val="24"/>
        </w:rPr>
      </w:pPr>
    </w:p>
    <w:p w:rsidR="001B2D39" w:rsidRDefault="001B2D39"/>
    <w:p w:rsidR="001B2D39" w:rsidRDefault="001B2D39"/>
    <w:p w:rsidR="001B2D39" w:rsidRDefault="001B2D39"/>
    <w:p w:rsidR="001B2D39" w:rsidRDefault="001B2D39"/>
    <w:p w:rsidR="001B2D39" w:rsidRDefault="001B2D39"/>
    <w:p w:rsidR="001B2D39" w:rsidRDefault="001B2D39"/>
    <w:p w:rsidR="00B7590A" w:rsidRDefault="00B7590A">
      <w:r>
        <w:br w:type="page"/>
      </w:r>
    </w:p>
    <w:p w:rsidR="00055113" w:rsidRDefault="00055113" w:rsidP="00B73FA9">
      <w:pPr>
        <w:spacing w:after="0" w:line="480" w:lineRule="auto"/>
        <w:ind w:left="720" w:hanging="72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266355905"/>
        <w:docPartObj>
          <w:docPartGallery w:val="Bibliographies"/>
          <w:docPartUnique/>
        </w:docPartObj>
      </w:sdtPr>
      <w:sdtEndPr/>
      <w:sdtContent>
        <w:p w:rsidR="00B73FA9" w:rsidRDefault="00B73FA9">
          <w:pPr>
            <w:pStyle w:val="Heading1"/>
          </w:pPr>
          <w:r>
            <w:t>Bibliography</w:t>
          </w:r>
        </w:p>
        <w:sdt>
          <w:sdtPr>
            <w:id w:val="111145805"/>
            <w:bibliography/>
          </w:sdtPr>
          <w:sdtEndPr/>
          <w:sdtContent>
            <w:p w:rsidR="00B73FA9" w:rsidRDefault="00B73FA9" w:rsidP="00B73FA9">
              <w:pPr>
                <w:pStyle w:val="Bibliography"/>
                <w:ind w:left="720" w:hanging="720"/>
                <w:rPr>
                  <w:noProof/>
                  <w:sz w:val="24"/>
                  <w:szCs w:val="24"/>
                </w:rPr>
              </w:pPr>
              <w:r>
                <w:fldChar w:fldCharType="begin"/>
              </w:r>
              <w:r>
                <w:instrText xml:space="preserve"> BIBLIOGRAPHY </w:instrText>
              </w:r>
              <w:r>
                <w:fldChar w:fldCharType="separate"/>
              </w:r>
              <w:r>
                <w:rPr>
                  <w:noProof/>
                </w:rPr>
                <w:t>Anderson, S. A. (2011). On the immorality of threatening . 229-242.</w:t>
              </w:r>
            </w:p>
            <w:p w:rsidR="00B73FA9" w:rsidRDefault="00B73FA9" w:rsidP="00B73FA9">
              <w:pPr>
                <w:pStyle w:val="Bibliography"/>
                <w:ind w:left="720" w:hanging="720"/>
                <w:rPr>
                  <w:noProof/>
                </w:rPr>
              </w:pPr>
              <w:r>
                <w:rPr>
                  <w:noProof/>
                </w:rPr>
                <w:t>Christensen, C. (2016). Review of the imitation game. 178-181.</w:t>
              </w:r>
            </w:p>
            <w:p w:rsidR="00B73FA9" w:rsidRDefault="00B73FA9" w:rsidP="00B73FA9">
              <w:pPr>
                <w:pStyle w:val="Bibliography"/>
                <w:ind w:left="720" w:hanging="720"/>
                <w:rPr>
                  <w:noProof/>
                </w:rPr>
              </w:pPr>
              <w:r>
                <w:rPr>
                  <w:noProof/>
                </w:rPr>
                <w:t xml:space="preserve">Griffin, S. (2006). history of gay and lesbian film in America. </w:t>
              </w:r>
              <w:r>
                <w:rPr>
                  <w:i/>
                  <w:iCs/>
                  <w:noProof/>
                </w:rPr>
                <w:t>Queer Images</w:t>
              </w:r>
              <w:r>
                <w:rPr>
                  <w:noProof/>
                </w:rPr>
                <w:t>.</w:t>
              </w:r>
            </w:p>
            <w:p w:rsidR="00B73FA9" w:rsidRDefault="00B73FA9" w:rsidP="00B73FA9">
              <w:pPr>
                <w:pStyle w:val="Bibliography"/>
                <w:ind w:left="720" w:hanging="720"/>
                <w:rPr>
                  <w:noProof/>
                </w:rPr>
              </w:pPr>
              <w:r>
                <w:rPr>
                  <w:noProof/>
                </w:rPr>
                <w:t>Haryanti, R. S. (2019). Discrimination Towards African- American Women as Portrayed in Hidden Figures Film. 420-429.</w:t>
              </w:r>
            </w:p>
            <w:p w:rsidR="00B73FA9" w:rsidRDefault="00B73FA9" w:rsidP="00B73FA9">
              <w:pPr>
                <w:pStyle w:val="Bibliography"/>
                <w:ind w:left="720" w:hanging="720"/>
                <w:rPr>
                  <w:noProof/>
                </w:rPr>
              </w:pPr>
              <w:r>
                <w:rPr>
                  <w:noProof/>
                </w:rPr>
                <w:t xml:space="preserve">Heyrman, J. (2017). American Politics in Film From Mr. Smith to Selma. </w:t>
              </w:r>
              <w:r>
                <w:rPr>
                  <w:i/>
                  <w:iCs/>
                  <w:noProof/>
                </w:rPr>
                <w:t>Lexington Books; Politics, Hollywood Style</w:t>
              </w:r>
              <w:r>
                <w:rPr>
                  <w:noProof/>
                </w:rPr>
                <w:t>.</w:t>
              </w:r>
            </w:p>
            <w:p w:rsidR="00B73FA9" w:rsidRDefault="00B73FA9" w:rsidP="00B73FA9">
              <w:pPr>
                <w:pStyle w:val="Bibliography"/>
                <w:ind w:left="720" w:hanging="720"/>
                <w:rPr>
                  <w:noProof/>
                </w:rPr>
              </w:pPr>
              <w:r>
                <w:rPr>
                  <w:noProof/>
                </w:rPr>
                <w:t xml:space="preserve">Hughes-Warrington, M. (2006). history goes to the movies. </w:t>
              </w:r>
              <w:r>
                <w:rPr>
                  <w:i/>
                  <w:iCs/>
                  <w:noProof/>
                </w:rPr>
                <w:t>studying history on film</w:t>
              </w:r>
              <w:r>
                <w:rPr>
                  <w:noProof/>
                </w:rPr>
                <w:t>, 25-30.</w:t>
              </w:r>
            </w:p>
            <w:p w:rsidR="00B73FA9" w:rsidRDefault="00B73FA9" w:rsidP="00B73FA9">
              <w:pPr>
                <w:pStyle w:val="Bibliography"/>
                <w:ind w:left="720" w:hanging="720"/>
                <w:rPr>
                  <w:noProof/>
                </w:rPr>
              </w:pPr>
              <w:r>
                <w:rPr>
                  <w:noProof/>
                </w:rPr>
                <w:t xml:space="preserve">Johnson, B. C. (2018). The Big Short. </w:t>
              </w:r>
              <w:r>
                <w:rPr>
                  <w:i/>
                  <w:iCs/>
                  <w:noProof/>
                </w:rPr>
                <w:t>Film clips for instructional ise in Reel Big Bullies</w:t>
              </w:r>
              <w:r>
                <w:rPr>
                  <w:noProof/>
                </w:rPr>
                <w:t>, 60-141.</w:t>
              </w:r>
            </w:p>
            <w:p w:rsidR="00B73FA9" w:rsidRDefault="00B73FA9" w:rsidP="00B73FA9">
              <w:pPr>
                <w:pStyle w:val="Bibliography"/>
                <w:ind w:left="720" w:hanging="720"/>
                <w:rPr>
                  <w:noProof/>
                </w:rPr>
              </w:pPr>
              <w:r>
                <w:rPr>
                  <w:noProof/>
                </w:rPr>
                <w:t>Kashyap, R. (2017). Imitation in the Imitation game.</w:t>
              </w:r>
            </w:p>
            <w:p w:rsidR="00B73FA9" w:rsidRDefault="00B73FA9" w:rsidP="00B73FA9">
              <w:pPr>
                <w:pStyle w:val="Bibliography"/>
                <w:ind w:left="720" w:hanging="720"/>
                <w:rPr>
                  <w:noProof/>
                </w:rPr>
              </w:pPr>
              <w:r>
                <w:rPr>
                  <w:noProof/>
                </w:rPr>
                <w:t xml:space="preserve">Lodge, T. (2020). The Many Lives of Nelson Mandela. </w:t>
              </w:r>
              <w:r>
                <w:rPr>
                  <w:i/>
                  <w:iCs/>
                  <w:noProof/>
                </w:rPr>
                <w:t>Oxford Research Encyclopedia of African History</w:t>
              </w:r>
              <w:r>
                <w:rPr>
                  <w:noProof/>
                </w:rPr>
                <w:t>.</w:t>
              </w:r>
            </w:p>
            <w:p w:rsidR="00B73FA9" w:rsidRDefault="00B73FA9" w:rsidP="00B73FA9">
              <w:pPr>
                <w:pStyle w:val="Bibliography"/>
                <w:ind w:left="720" w:hanging="720"/>
                <w:rPr>
                  <w:noProof/>
                </w:rPr>
              </w:pPr>
              <w:r>
                <w:rPr>
                  <w:noProof/>
                </w:rPr>
                <w:t>Warwick, K. &amp;. (2016). Turing's Imitation Game.</w:t>
              </w:r>
            </w:p>
            <w:p w:rsidR="00B73FA9" w:rsidRDefault="00B73FA9" w:rsidP="00B73FA9">
              <w:r>
                <w:rPr>
                  <w:b/>
                  <w:bCs/>
                  <w:noProof/>
                </w:rPr>
                <w:fldChar w:fldCharType="end"/>
              </w:r>
            </w:p>
          </w:sdtContent>
        </w:sdt>
      </w:sdtContent>
    </w:sdt>
    <w:p w:rsidR="001B2D39" w:rsidRPr="00B7590A" w:rsidRDefault="001B2D39" w:rsidP="00B7590A">
      <w:pPr>
        <w:spacing w:after="0" w:line="480" w:lineRule="auto"/>
        <w:ind w:left="720" w:hanging="720"/>
        <w:rPr>
          <w:rFonts w:ascii="Times New Roman" w:hAnsi="Times New Roman" w:cs="Times New Roman"/>
          <w:sz w:val="24"/>
          <w:szCs w:val="24"/>
        </w:rPr>
      </w:pPr>
    </w:p>
    <w:sectPr w:rsidR="001B2D39" w:rsidRPr="00B7590A" w:rsidSect="001177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4A21" w:rsidRDefault="00644A21" w:rsidP="001177C9">
      <w:pPr>
        <w:spacing w:after="0" w:line="240" w:lineRule="auto"/>
      </w:pPr>
      <w:r>
        <w:separator/>
      </w:r>
    </w:p>
  </w:endnote>
  <w:endnote w:type="continuationSeparator" w:id="0">
    <w:p w:rsidR="00644A21" w:rsidRDefault="00644A21" w:rsidP="00117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4A21" w:rsidRDefault="00644A21" w:rsidP="001177C9">
      <w:pPr>
        <w:spacing w:after="0" w:line="240" w:lineRule="auto"/>
      </w:pPr>
      <w:r>
        <w:separator/>
      </w:r>
    </w:p>
  </w:footnote>
  <w:footnote w:type="continuationSeparator" w:id="0">
    <w:p w:rsidR="00644A21" w:rsidRDefault="00644A21" w:rsidP="00117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177C9" w:rsidRPr="001177C9" w:rsidRDefault="001177C9" w:rsidP="001177C9">
    <w:pPr>
      <w:pStyle w:val="Header"/>
      <w:rPr>
        <w:rFonts w:ascii="Times New Roman" w:hAnsi="Times New Roman" w:cs="Times New Roman"/>
        <w:sz w:val="24"/>
        <w:szCs w:val="24"/>
      </w:rPr>
    </w:pPr>
    <w:r w:rsidRPr="001177C9">
      <w:rPr>
        <w:rFonts w:ascii="Times New Roman" w:hAnsi="Times New Roman" w:cs="Times New Roman"/>
        <w:sz w:val="24"/>
        <w:szCs w:val="24"/>
      </w:rPr>
      <w:t>GANGS IN AMERICA</w:t>
    </w:r>
    <w:r>
      <w:rPr>
        <w:rFonts w:ascii="Times New Roman" w:hAnsi="Times New Roman" w:cs="Times New Roman"/>
        <w:sz w:val="24"/>
        <w:szCs w:val="24"/>
      </w:rPr>
      <w:tab/>
    </w:r>
    <w:r>
      <w:rPr>
        <w:rFonts w:ascii="Times New Roman" w:hAnsi="Times New Roman" w:cs="Times New Roman"/>
        <w:sz w:val="24"/>
        <w:szCs w:val="24"/>
      </w:rPr>
      <w:tab/>
    </w:r>
    <w:r w:rsidRPr="001177C9">
      <w:rPr>
        <w:rFonts w:ascii="Times New Roman" w:hAnsi="Times New Roman" w:cs="Times New Roman"/>
        <w:sz w:val="24"/>
        <w:szCs w:val="24"/>
      </w:rPr>
      <w:fldChar w:fldCharType="begin"/>
    </w:r>
    <w:r w:rsidRPr="001177C9">
      <w:rPr>
        <w:rFonts w:ascii="Times New Roman" w:hAnsi="Times New Roman" w:cs="Times New Roman"/>
        <w:sz w:val="24"/>
        <w:szCs w:val="24"/>
      </w:rPr>
      <w:instrText xml:space="preserve"> PAGE   \* MERGEFORMAT </w:instrText>
    </w:r>
    <w:r w:rsidRPr="001177C9">
      <w:rPr>
        <w:rFonts w:ascii="Times New Roman" w:hAnsi="Times New Roman" w:cs="Times New Roman"/>
        <w:sz w:val="24"/>
        <w:szCs w:val="24"/>
      </w:rPr>
      <w:fldChar w:fldCharType="separate"/>
    </w:r>
    <w:r w:rsidR="00B73FA9">
      <w:rPr>
        <w:rFonts w:ascii="Times New Roman" w:hAnsi="Times New Roman" w:cs="Times New Roman"/>
        <w:noProof/>
        <w:sz w:val="24"/>
        <w:szCs w:val="24"/>
      </w:rPr>
      <w:t>10</w:t>
    </w:r>
    <w:r w:rsidRPr="001177C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177C9" w:rsidRPr="001177C9" w:rsidRDefault="001177C9" w:rsidP="001177C9">
    <w:pPr>
      <w:pStyle w:val="Header"/>
      <w:spacing w:line="480" w:lineRule="auto"/>
      <w:rPr>
        <w:rFonts w:ascii="Times New Roman" w:hAnsi="Times New Roman" w:cs="Times New Roman"/>
        <w:sz w:val="24"/>
        <w:szCs w:val="24"/>
      </w:rPr>
    </w:pPr>
    <w:r w:rsidRPr="001177C9">
      <w:rPr>
        <w:rFonts w:ascii="Times New Roman" w:hAnsi="Times New Roman" w:cs="Times New Roman"/>
        <w:sz w:val="24"/>
        <w:szCs w:val="24"/>
      </w:rPr>
      <w:t>Running head: GANGS IN AMERICA</w:t>
    </w:r>
    <w:r>
      <w:rPr>
        <w:rFonts w:ascii="Times New Roman" w:hAnsi="Times New Roman" w:cs="Times New Roman"/>
        <w:sz w:val="24"/>
        <w:szCs w:val="24"/>
      </w:rPr>
      <w:tab/>
    </w:r>
    <w:r>
      <w:rPr>
        <w:rFonts w:ascii="Times New Roman" w:hAnsi="Times New Roman" w:cs="Times New Roman"/>
        <w:sz w:val="24"/>
        <w:szCs w:val="24"/>
      </w:rPr>
      <w:tab/>
    </w:r>
    <w:r w:rsidRPr="001177C9">
      <w:rPr>
        <w:rFonts w:ascii="Times New Roman" w:hAnsi="Times New Roman" w:cs="Times New Roman"/>
        <w:sz w:val="24"/>
        <w:szCs w:val="24"/>
      </w:rPr>
      <w:fldChar w:fldCharType="begin"/>
    </w:r>
    <w:r w:rsidRPr="001177C9">
      <w:rPr>
        <w:rFonts w:ascii="Times New Roman" w:hAnsi="Times New Roman" w:cs="Times New Roman"/>
        <w:sz w:val="24"/>
        <w:szCs w:val="24"/>
      </w:rPr>
      <w:instrText xml:space="preserve"> PAGE   \* MERGEFORMAT </w:instrText>
    </w:r>
    <w:r w:rsidRPr="001177C9">
      <w:rPr>
        <w:rFonts w:ascii="Times New Roman" w:hAnsi="Times New Roman" w:cs="Times New Roman"/>
        <w:sz w:val="24"/>
        <w:szCs w:val="24"/>
      </w:rPr>
      <w:fldChar w:fldCharType="separate"/>
    </w:r>
    <w:r w:rsidR="00B73FA9">
      <w:rPr>
        <w:rFonts w:ascii="Times New Roman" w:hAnsi="Times New Roman" w:cs="Times New Roman"/>
        <w:noProof/>
        <w:sz w:val="24"/>
        <w:szCs w:val="24"/>
      </w:rPr>
      <w:t>1</w:t>
    </w:r>
    <w:r w:rsidRPr="001177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7C9"/>
    <w:rsid w:val="00055113"/>
    <w:rsid w:val="001177C9"/>
    <w:rsid w:val="001A198D"/>
    <w:rsid w:val="001B2D39"/>
    <w:rsid w:val="00212629"/>
    <w:rsid w:val="002C44ED"/>
    <w:rsid w:val="00435954"/>
    <w:rsid w:val="004D2A13"/>
    <w:rsid w:val="00566D7D"/>
    <w:rsid w:val="00644A21"/>
    <w:rsid w:val="00660E91"/>
    <w:rsid w:val="006D03B5"/>
    <w:rsid w:val="00807084"/>
    <w:rsid w:val="009B7BAF"/>
    <w:rsid w:val="00A43BC9"/>
    <w:rsid w:val="00A65769"/>
    <w:rsid w:val="00A94068"/>
    <w:rsid w:val="00B73FA9"/>
    <w:rsid w:val="00B7590A"/>
    <w:rsid w:val="00C94930"/>
    <w:rsid w:val="00DA6740"/>
    <w:rsid w:val="00FB3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13440-4275-4542-A927-B4CB2468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1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7C9"/>
  </w:style>
  <w:style w:type="paragraph" w:styleId="Footer">
    <w:name w:val="footer"/>
    <w:basedOn w:val="Normal"/>
    <w:link w:val="FooterChar"/>
    <w:uiPriority w:val="99"/>
    <w:unhideWhenUsed/>
    <w:rsid w:val="00117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7C9"/>
  </w:style>
  <w:style w:type="character" w:styleId="Hyperlink">
    <w:name w:val="Hyperlink"/>
    <w:basedOn w:val="DefaultParagraphFont"/>
    <w:uiPriority w:val="99"/>
    <w:unhideWhenUsed/>
    <w:rsid w:val="001B2D39"/>
    <w:rPr>
      <w:color w:val="0563C1" w:themeColor="hyperlink"/>
      <w:u w:val="single"/>
    </w:rPr>
  </w:style>
  <w:style w:type="character" w:customStyle="1" w:styleId="Heading1Char">
    <w:name w:val="Heading 1 Char"/>
    <w:basedOn w:val="DefaultParagraphFont"/>
    <w:link w:val="Heading1"/>
    <w:uiPriority w:val="9"/>
    <w:rsid w:val="0005511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73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War16</b:Tag>
    <b:SourceType>JournalArticle</b:SourceType>
    <b:Guid>{1F379EDB-09C1-4D1E-82AD-1B201C3593BF}</b:Guid>
    <b:Author>
      <b:Author>
        <b:NameList>
          <b:Person>
            <b:Last>Warwick</b:Last>
            <b:First>K.,</b:First>
            <b:Middle>&amp; Shah, H.</b:Middle>
          </b:Person>
        </b:NameList>
      </b:Author>
    </b:Author>
    <b:Title>Turing's Imitation Game</b:Title>
    <b:Year>2016</b:Year>
    <b:Medium>print</b:Medium>
    <b:RefOrder>1</b:RefOrder>
  </b:Source>
  <b:Source>
    <b:Tag>Lod20</b:Tag>
    <b:SourceType>JournalArticle</b:SourceType>
    <b:Guid>{99B57C5D-B556-4BBD-848F-38E54F4ADF0F}</b:Guid>
    <b:Author>
      <b:Author>
        <b:NameList>
          <b:Person>
            <b:Last>Lodge</b:Last>
            <b:First>T.</b:First>
          </b:Person>
        </b:NameList>
      </b:Author>
    </b:Author>
    <b:Title>The Many Lives of Nelson Mandela</b:Title>
    <b:JournalName>Oxford Research Encyclopedia of African History</b:JournalName>
    <b:Year>2020</b:Year>
    <b:Medium>print</b:Medium>
    <b:RefOrder>2</b:RefOrder>
  </b:Source>
  <b:Source>
    <b:Tag>Kas17</b:Tag>
    <b:SourceType>JournalArticle</b:SourceType>
    <b:Guid>{B24DB9F9-59C4-4B31-A857-58AA3B611169}</b:Guid>
    <b:Author>
      <b:Author>
        <b:NameList>
          <b:Person>
            <b:Last>Kashyap</b:Last>
            <b:First>R.</b:First>
          </b:Person>
        </b:NameList>
      </b:Author>
    </b:Author>
    <b:Title>Imitation in the Imitation game</b:Title>
    <b:Year>2017</b:Year>
    <b:Medium>print</b:Medium>
    <b:RefOrder>3</b:RefOrder>
  </b:Source>
  <b:Source>
    <b:Tag>Joh18</b:Tag>
    <b:SourceType>JournalArticle</b:SourceType>
    <b:Guid>{1DF3CC5F-8B0C-47CC-B997-CF756B2CCFF6}</b:Guid>
    <b:Author>
      <b:Author>
        <b:NameList>
          <b:Person>
            <b:Last>Johnson</b:Last>
            <b:First>B.</b:First>
            <b:Middle>C., &amp; Vines, J. E.</b:Middle>
          </b:Person>
        </b:NameList>
      </b:Author>
    </b:Author>
    <b:Title>The Big Short</b:Title>
    <b:JournalName>Film clips for instructional ise in Reel Big Bullies</b:JournalName>
    <b:Year>2018</b:Year>
    <b:Pages>60-141</b:Pages>
    <b:Medium>print</b:Medium>
    <b:RefOrder>4</b:RefOrder>
  </b:Source>
  <b:Source>
    <b:Tag>Hug06</b:Tag>
    <b:SourceType>JournalArticle</b:SourceType>
    <b:Guid>{C7CE2CC8-98AB-429D-965A-55B303E38040}</b:Guid>
    <b:Author>
      <b:Author>
        <b:NameList>
          <b:Person>
            <b:Last>Hughes-Warrington</b:Last>
            <b:First>M.</b:First>
          </b:Person>
        </b:NameList>
      </b:Author>
    </b:Author>
    <b:Title>history goes to the movies</b:Title>
    <b:JournalName>studying history on film</b:JournalName>
    <b:Year>2006</b:Year>
    <b:Pages>25-30</b:Pages>
    <b:Medium>print</b:Medium>
    <b:RefOrder>5</b:RefOrder>
  </b:Source>
  <b:Source>
    <b:Tag>Hey17</b:Tag>
    <b:SourceType>JournalArticle</b:SourceType>
    <b:Guid>{5ED77173-A811-4E09-B2DC-C498D69F5A2F}</b:Guid>
    <b:Author>
      <b:Author>
        <b:NameList>
          <b:Person>
            <b:Last>Heyrman</b:Last>
            <b:First>J.</b:First>
          </b:Person>
        </b:NameList>
      </b:Author>
    </b:Author>
    <b:Title>American Politics in Film From Mr. Smith to Selma</b:Title>
    <b:JournalName>Lexington Books; Politics, Hollywood Style</b:JournalName>
    <b:Year>2017</b:Year>
    <b:Medium>print</b:Medium>
    <b:RefOrder>6</b:RefOrder>
  </b:Source>
  <b:Source>
    <b:Tag>Har19</b:Tag>
    <b:SourceType>JournalArticle</b:SourceType>
    <b:Guid>{ADE4B647-3C99-49D9-B8FC-DBC1FD7DEF06}</b:Guid>
    <b:Author>
      <b:Author>
        <b:NameList>
          <b:Person>
            <b:Last>Haryanti</b:Last>
            <b:First>R.</b:First>
            <b:Middle>S., Kuncara, S. D., &amp; Valiantien, N. M.</b:Middle>
          </b:Person>
        </b:NameList>
      </b:Author>
    </b:Author>
    <b:Title>Discrimination Towards African- American Women as Portrayed in Hidden Figures Film</b:Title>
    <b:Year>2019</b:Year>
    <b:Pages>420-429</b:Pages>
    <b:Medium>print</b:Medium>
    <b:RefOrder>7</b:RefOrder>
  </b:Source>
  <b:Source>
    <b:Tag>Gri06</b:Tag>
    <b:SourceType>JournalArticle</b:SourceType>
    <b:Guid>{6B70F2A1-642B-4325-B4DC-6A00CD9D7F2C}</b:Guid>
    <b:Author>
      <b:Author>
        <b:NameList>
          <b:Person>
            <b:Last>Griffin</b:Last>
            <b:First>S.</b:First>
          </b:Person>
        </b:NameList>
      </b:Author>
    </b:Author>
    <b:Title>history of gay and lesbian film in America</b:Title>
    <b:JournalName>Queer Images</b:JournalName>
    <b:Year>2006</b:Year>
    <b:Medium>print</b:Medium>
    <b:RefOrder>8</b:RefOrder>
  </b:Source>
  <b:Source>
    <b:Tag>Chr16</b:Tag>
    <b:SourceType>JournalArticle</b:SourceType>
    <b:Guid>{78D70668-E49F-4F7A-8F68-F6564FF835ED}</b:Guid>
    <b:Author>
      <b:Author>
        <b:NameList>
          <b:Person>
            <b:Last>Christensen</b:Last>
            <b:First>C.</b:First>
          </b:Person>
        </b:NameList>
      </b:Author>
    </b:Author>
    <b:Title>Review of the imitation game</b:Title>
    <b:Year>2016</b:Year>
    <b:Pages>178-181</b:Pages>
    <b:Medium>print</b:Medium>
    <b:RefOrder>9</b:RefOrder>
  </b:Source>
  <b:Source>
    <b:Tag>And11</b:Tag>
    <b:SourceType>JournalArticle</b:SourceType>
    <b:Guid>{FE1DC5A1-579A-4B09-83B3-C27F8E307980}</b:Guid>
    <b:Author>
      <b:Author>
        <b:NameList>
          <b:Person>
            <b:Last>Anderson</b:Last>
            <b:First>S.</b:First>
            <b:Middle>A.</b:Middle>
          </b:Person>
        </b:NameList>
      </b:Author>
    </b:Author>
    <b:Title>On the immorality of threatening </b:Title>
    <b:Year>2011</b:Year>
    <b:Pages>229-242</b:Pages>
    <b:Medium>print</b:Medium>
    <b:RefOrder>10</b:RefOrder>
  </b:Source>
</b:Sources>
</file>

<file path=customXml/itemProps1.xml><?xml version="1.0" encoding="utf-8"?>
<ds:datastoreItem xmlns:ds="http://schemas.openxmlformats.org/officeDocument/2006/customXml" ds:itemID="{F7677FCC-B140-433D-AA3E-6DAC013D984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2314</Words>
  <Characters>13193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2020-10-12T12:40:00Z</dcterms:created>
  <dcterms:modified xsi:type="dcterms:W3CDTF">2020-10-12T12:40:00Z</dcterms:modified>
</cp:coreProperties>
</file>